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:rsidR="00157ED5" w:rsidRDefault="00157ED5">
      <w:pPr>
        <w:pStyle w:val="DateandIssue"/>
        <w:rPr>
          <w:color w:val="000000"/>
        </w:rPr>
      </w:pPr>
    </w:p>
    <w:p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E03374">
        <w:rPr>
          <w:caps/>
          <w:color w:val="000000"/>
        </w:rPr>
        <w:t>8</w:t>
      </w:r>
      <w:r w:rsidR="0057182A">
        <w:rPr>
          <w:caps/>
          <w:color w:val="000000"/>
        </w:rPr>
        <w:t>13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57182A">
        <w:rPr>
          <w:caps/>
          <w:color w:val="000000"/>
        </w:rPr>
        <w:t xml:space="preserve">09 June </w:t>
      </w:r>
      <w:r w:rsidR="006D5D0D">
        <w:rPr>
          <w:caps/>
          <w:color w:val="000000"/>
        </w:rPr>
        <w:t>2</w:t>
      </w:r>
      <w:r w:rsidR="003348CA">
        <w:rPr>
          <w:caps/>
          <w:color w:val="000000"/>
        </w:rPr>
        <w:t>026</w:t>
      </w:r>
    </w:p>
    <w:p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E03374">
        <w:t>8</w:t>
      </w:r>
      <w:r w:rsidR="0057182A">
        <w:t>14</w:t>
      </w:r>
      <w:r>
        <w:t xml:space="preserve"> –</w:t>
      </w:r>
      <w:r w:rsidR="00843BA3">
        <w:t xml:space="preserve"> </w:t>
      </w:r>
      <w:r w:rsidR="0057182A">
        <w:t>19 June</w:t>
      </w:r>
      <w:r w:rsidR="006D5D0D">
        <w:t xml:space="preserve"> </w:t>
      </w:r>
      <w:r w:rsidR="003348CA">
        <w:t>2026</w:t>
      </w:r>
      <w:r>
        <w:t>)</w:t>
      </w:r>
    </w:p>
    <w:p w:rsidR="00EF5F5F" w:rsidRDefault="00EF5F5F" w:rsidP="00EF5F5F">
      <w:pPr>
        <w:pStyle w:val="NoSpacing"/>
      </w:pPr>
    </w:p>
    <w:p w:rsidR="00157ED5" w:rsidRDefault="00157ED5">
      <w:pPr>
        <w:rPr>
          <w:color w:val="000000"/>
        </w:rPr>
      </w:pPr>
    </w:p>
    <w:p w:rsidR="00A05D8C" w:rsidRDefault="00A05D8C">
      <w:pPr>
        <w:pStyle w:val="Heading2"/>
        <w:rPr>
          <w:color w:val="000000"/>
        </w:rPr>
      </w:pPr>
      <w:bookmarkStart w:id="0" w:name="_Toc231955029"/>
      <w:r>
        <w:rPr>
          <w:color w:val="000000"/>
        </w:rPr>
        <w:t>The Headlines</w:t>
      </w:r>
      <w:bookmarkEnd w:id="0"/>
    </w:p>
    <w:p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282320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707"/>
        <w:gridCol w:w="7230"/>
        <w:gridCol w:w="567"/>
      </w:tblGrid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The Australasian Scene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:rsidR="00226FBC" w:rsidRPr="00833D6F" w:rsidRDefault="00226FBC" w:rsidP="00520FA1">
            <w:pPr>
              <w:pStyle w:val="NoSpacing"/>
            </w:pPr>
            <w:r w:rsidRPr="00840173">
              <w:t>Infrastructure Victoria</w:t>
            </w:r>
            <w:r>
              <w:t xml:space="preserve"> - </w:t>
            </w:r>
            <w:hyperlink w:anchor="InfrastructureVictoria813" w:history="1">
              <w:r w:rsidRPr="008111F7">
                <w:rPr>
                  <w:rStyle w:val="Hyperlink"/>
                </w:rPr>
                <w:t>Climate change risks to Victoria's infrastructure report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The Australasian Scene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:rsidR="00226FBC" w:rsidRPr="001D2220" w:rsidRDefault="00226FBC" w:rsidP="00520FA1">
            <w:pPr>
              <w:pStyle w:val="NoSpacing"/>
            </w:pPr>
            <w:r>
              <w:t xml:space="preserve">Queensland Government - </w:t>
            </w:r>
            <w:hyperlink w:anchor="QLDGovInvestment813" w:history="1">
              <w:r w:rsidRPr="0004716A">
                <w:rPr>
                  <w:rStyle w:val="Hyperlink"/>
                </w:rPr>
                <w:t>New legislation to fast-track critical minerals and State significant projects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The Company Scene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:rsidR="00226FBC" w:rsidRPr="00997475" w:rsidRDefault="00226FBC" w:rsidP="00520FA1">
            <w:pPr>
              <w:pStyle w:val="NoSpacing"/>
            </w:pPr>
            <w:r w:rsidRPr="00C240D1">
              <w:t xml:space="preserve">Downer </w:t>
            </w:r>
            <w:r>
              <w:t xml:space="preserve">/ </w:t>
            </w:r>
            <w:r w:rsidRPr="00C240D1">
              <w:t>Future Maintenance Technologies</w:t>
            </w:r>
            <w:r>
              <w:t xml:space="preserve"> - </w:t>
            </w:r>
            <w:hyperlink w:anchor="DownerRobots813" w:history="1">
              <w:r w:rsidRPr="009A7067">
                <w:rPr>
                  <w:rStyle w:val="Hyperlink"/>
                </w:rPr>
                <w:t>'humans plus robots' model for rail maintenance expansion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The Company Scene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:rsidR="00226FBC" w:rsidRPr="007F4AB4" w:rsidRDefault="00226FBC" w:rsidP="00520FA1">
            <w:pPr>
              <w:pStyle w:val="NoSpacing"/>
            </w:pPr>
            <w:r w:rsidRPr="008E434C">
              <w:t>Tasmea</w:t>
            </w:r>
            <w:r>
              <w:t xml:space="preserve"> - </w:t>
            </w:r>
            <w:hyperlink w:anchor="TEAMaximElectricity813" w:history="1">
              <w:r w:rsidRPr="00D41F3D">
                <w:rPr>
                  <w:rStyle w:val="Hyperlink"/>
                </w:rPr>
                <w:t>Maxim Group acquisition creates one of the largest electrical contractors on the ASX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9B0791" w:rsidRDefault="00226FBC" w:rsidP="00520FA1">
            <w:pPr>
              <w:pStyle w:val="NoSpacing"/>
            </w:pPr>
            <w:r w:rsidRPr="008B3567">
              <w:t>Lismore City Council</w:t>
            </w:r>
            <w:r>
              <w:t xml:space="preserve"> - </w:t>
            </w:r>
            <w:hyperlink w:anchor="LCCBudgetBuilding813" w:history="1">
              <w:r w:rsidRPr="008B3567">
                <w:rPr>
                  <w:rStyle w:val="Hyperlink"/>
                </w:rPr>
                <w:t>$218.4 million capital investment program proposed in FY2026</w:t>
              </w:r>
              <w:r>
                <w:rPr>
                  <w:rStyle w:val="Hyperlink"/>
                </w:rPr>
                <w:t>-</w:t>
              </w:r>
              <w:r w:rsidRPr="008B3567">
                <w:rPr>
                  <w:rStyle w:val="Hyperlink"/>
                </w:rPr>
                <w:t>27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6224C2" w:rsidRDefault="00226FBC" w:rsidP="00520FA1">
            <w:pPr>
              <w:pStyle w:val="NoSpacing"/>
            </w:pPr>
            <w:r w:rsidRPr="00336B4B">
              <w:t>PAYCE Consolidated</w:t>
            </w:r>
            <w:r>
              <w:t xml:space="preserve"> - </w:t>
            </w:r>
            <w:hyperlink w:anchor="PAYCEMelroseParkBuilding813" w:history="1">
              <w:r w:rsidRPr="00591172">
                <w:rPr>
                  <w:rStyle w:val="Hyperlink"/>
                </w:rPr>
                <w:t>351-apartment development in Melrose Park granted planning and rezoning approval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7F4AB4" w:rsidRDefault="00226FBC" w:rsidP="00520FA1">
            <w:pPr>
              <w:pStyle w:val="NoSpacing"/>
            </w:pPr>
            <w:r>
              <w:t xml:space="preserve">Australian Adventure Tourism Group - </w:t>
            </w:r>
            <w:hyperlink w:anchor="AATGWhitsundaySkyway813" w:history="1">
              <w:r w:rsidRPr="00845034">
                <w:rPr>
                  <w:rStyle w:val="Hyperlink"/>
                </w:rPr>
                <w:t>Whitsunday Skyway Project declared a Prescribed Project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836645" w:rsidRDefault="00226FBC" w:rsidP="00520FA1">
            <w:pPr>
              <w:pStyle w:val="NoSpacing"/>
            </w:pPr>
            <w:r w:rsidRPr="00AA5CEE">
              <w:t>HeliMods</w:t>
            </w:r>
            <w:r>
              <w:t xml:space="preserve"> - </w:t>
            </w:r>
            <w:hyperlink w:anchor="HeliModsAdvancedIndustryPrecinct813" w:history="1">
              <w:r w:rsidRPr="00AA5CEE">
                <w:rPr>
                  <w:rStyle w:val="Hyperlink"/>
                </w:rPr>
                <w:t>$78.1M Advanced Industry Precinct Expansion at Caloundra Aerodrome advancing towards construction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Building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3C423A" w:rsidRDefault="00226FBC" w:rsidP="00520FA1">
            <w:pPr>
              <w:pStyle w:val="NoSpacing"/>
            </w:pPr>
            <w:r>
              <w:t xml:space="preserve">Province Resources - </w:t>
            </w:r>
            <w:hyperlink w:anchor="PRLGascoyneDataCentre813" w:history="1">
              <w:r w:rsidRPr="00C71683">
                <w:rPr>
                  <w:rStyle w:val="Hyperlink"/>
                </w:rPr>
                <w:t>Renewable Energy and Data Centre Development in the Gascoyne Region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02026E" w:rsidRDefault="00226FBC" w:rsidP="00520FA1">
            <w:pPr>
              <w:pStyle w:val="NoSpacing"/>
            </w:pPr>
            <w:r w:rsidRPr="00CF6D61">
              <w:t xml:space="preserve">Metis Energy - </w:t>
            </w:r>
            <w:hyperlink w:anchor="MetisBendemeerSolarWind813" w:history="1">
              <w:r w:rsidRPr="00490389">
                <w:rPr>
                  <w:rStyle w:val="Hyperlink"/>
                </w:rPr>
                <w:t xml:space="preserve">Bendemeer Renewable Energy Hub Solar </w:t>
              </w:r>
              <w:r>
                <w:rPr>
                  <w:rStyle w:val="Hyperlink"/>
                </w:rPr>
                <w:t xml:space="preserve">&amp; Wind </w:t>
              </w:r>
              <w:r w:rsidRPr="00490389">
                <w:rPr>
                  <w:rStyle w:val="Hyperlink"/>
                </w:rPr>
                <w:t xml:space="preserve">Farm </w:t>
              </w:r>
              <w:r>
                <w:rPr>
                  <w:rStyle w:val="Hyperlink"/>
                </w:rPr>
                <w:t>planning progress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865478" w:rsidRDefault="00226FBC" w:rsidP="00520FA1">
            <w:pPr>
              <w:pStyle w:val="NoSpacing"/>
            </w:pPr>
            <w:r w:rsidRPr="00C5458D">
              <w:t>Queensland Investment Corporation</w:t>
            </w:r>
            <w:r>
              <w:t xml:space="preserve"> - </w:t>
            </w:r>
            <w:hyperlink w:anchor="QICNorthWestEnergy813" w:history="1">
              <w:r w:rsidRPr="00C40102">
                <w:rPr>
                  <w:rStyle w:val="Hyperlink"/>
                </w:rPr>
                <w:t>$200M North West Energy Fund inviting proposals from generation and storage projects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B6E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6B6EBC" w:rsidRDefault="00226FBC" w:rsidP="00520FA1">
            <w:r w:rsidRPr="006B6EBC">
              <w:t xml:space="preserve">Queensland Investment Corporation - </w:t>
            </w:r>
            <w:hyperlink w:anchor="QICCentralQueenslandGasFired813" w:history="1">
              <w:r w:rsidRPr="006B6EBC">
                <w:rPr>
                  <w:rStyle w:val="Hyperlink"/>
                </w:rPr>
                <w:t>Central Queensland Gas Tender seeking 400MW of additional gas fired generation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D10486" w:rsidRDefault="00226FBC" w:rsidP="00520FA1">
            <w:pPr>
              <w:pStyle w:val="NoSpacing"/>
            </w:pPr>
            <w:r w:rsidRPr="00BA18CC">
              <w:t>Frontier Energy</w:t>
            </w:r>
            <w:r>
              <w:t xml:space="preserve"> - </w:t>
            </w:r>
            <w:hyperlink w:anchor="FHEWaroonaREP813" w:history="1">
              <w:r w:rsidRPr="005D02E6">
                <w:rPr>
                  <w:rStyle w:val="Hyperlink"/>
                </w:rPr>
                <w:t>$110</w:t>
              </w:r>
              <w:r>
                <w:rPr>
                  <w:rStyle w:val="Hyperlink"/>
                </w:rPr>
                <w:t>M</w:t>
              </w:r>
              <w:r w:rsidRPr="005D02E6">
                <w:rPr>
                  <w:rStyle w:val="Hyperlink"/>
                </w:rPr>
                <w:t xml:space="preserve"> equity raising for </w:t>
              </w:r>
              <w:r>
                <w:rPr>
                  <w:rStyle w:val="Hyperlink"/>
                </w:rPr>
                <w:t>W</w:t>
              </w:r>
              <w:r w:rsidRPr="005D02E6">
                <w:rPr>
                  <w:rStyle w:val="Hyperlink"/>
                </w:rPr>
                <w:t>aroona Renewable Energy Project Stage One financing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Electricity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9576E5" w:rsidRDefault="00226FBC" w:rsidP="00520FA1">
            <w:pPr>
              <w:pStyle w:val="NoSpacing"/>
            </w:pPr>
            <w:r w:rsidRPr="00B46538">
              <w:rPr>
                <w:color w:val="000000"/>
              </w:rPr>
              <w:t>Tilt Renewables</w:t>
            </w:r>
            <w:r>
              <w:rPr>
                <w:color w:val="000000"/>
              </w:rPr>
              <w:t xml:space="preserve"> - </w:t>
            </w:r>
            <w:hyperlink w:anchor="TiltWaddiWind813" w:history="1">
              <w:r w:rsidRPr="003E57D4">
                <w:rPr>
                  <w:rStyle w:val="Hyperlink"/>
                </w:rPr>
                <w:t>Waddi Wind Farm early work</w:t>
              </w:r>
              <w:r>
                <w:rPr>
                  <w:rStyle w:val="Hyperlink"/>
                </w:rPr>
                <w:t>s</w:t>
              </w:r>
              <w:r w:rsidRPr="003E57D4"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nearing </w:t>
              </w:r>
              <w:r w:rsidRPr="003E57D4">
                <w:rPr>
                  <w:rStyle w:val="Hyperlink"/>
                </w:rPr>
                <w:t>com</w:t>
              </w:r>
              <w:r>
                <w:rPr>
                  <w:rStyle w:val="Hyperlink"/>
                </w:rPr>
                <w:t>pletion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:rsidR="00226FBC" w:rsidRPr="005B60A0" w:rsidRDefault="00226FBC" w:rsidP="00520FA1">
            <w:pPr>
              <w:pStyle w:val="NoSpacing"/>
            </w:pPr>
            <w:r w:rsidRPr="00B2278C">
              <w:t xml:space="preserve">NuCoal Resources </w:t>
            </w:r>
            <w:r>
              <w:t>-</w:t>
            </w:r>
            <w:r w:rsidRPr="00B2278C">
              <w:t xml:space="preserve"> </w:t>
            </w:r>
            <w:hyperlink w:anchor="NCRmetals813" w:history="1">
              <w:r w:rsidRPr="005A2107">
                <w:rPr>
                  <w:rStyle w:val="Hyperlink"/>
                </w:rPr>
                <w:t>Rebranded NCR Resources with focus on precious and base metals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0E294C" w:rsidRDefault="00226FBC" w:rsidP="00520FA1">
            <w:pPr>
              <w:pStyle w:val="NoSpacing"/>
            </w:pPr>
            <w:r>
              <w:t xml:space="preserve">Aurelia Metals - </w:t>
            </w:r>
            <w:hyperlink w:anchor="AMICobarCu813" w:history="1">
              <w:r w:rsidRPr="00C6344F">
                <w:rPr>
                  <w:rStyle w:val="Hyperlink"/>
                </w:rPr>
                <w:t>Earn-in to Cobar Project (EL9511 and EL9858)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7818B2" w:rsidRDefault="00226FBC" w:rsidP="00520FA1">
            <w:pPr>
              <w:pStyle w:val="NoSpacing"/>
            </w:pPr>
            <w:r>
              <w:t xml:space="preserve">Godolphin Resources - </w:t>
            </w:r>
            <w:hyperlink w:anchor="GRLOrbitResources813" w:history="1">
              <w:r w:rsidRPr="00C11868">
                <w:rPr>
                  <w:rStyle w:val="Hyperlink"/>
                </w:rPr>
                <w:t>Rebranding as Orbit Resources, a precious and base metals focused explorer and developer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:rsidR="00226FBC" w:rsidRPr="002E00C6" w:rsidRDefault="00226FBC" w:rsidP="00520FA1">
            <w:r>
              <w:t xml:space="preserve">Dart Mining - </w:t>
            </w:r>
            <w:hyperlink w:anchor="DTMPineCreekAuCu813" w:history="1">
              <w:r w:rsidRPr="009F4A93">
                <w:rPr>
                  <w:rStyle w:val="Hyperlink"/>
                </w:rPr>
                <w:t>Acquisition of 4,717sqkm Tenement Package prospective for gold, copper, uranium &amp; tungsten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:rsidR="00226FBC" w:rsidRPr="00A17198" w:rsidRDefault="00226FBC" w:rsidP="00520FA1">
            <w:pPr>
              <w:pStyle w:val="NoSpacing"/>
            </w:pPr>
            <w:r w:rsidRPr="005E5B94">
              <w:t xml:space="preserve">KGL Resources </w:t>
            </w:r>
            <w:r>
              <w:t>-</w:t>
            </w:r>
            <w:r w:rsidRPr="005E5B94">
              <w:t xml:space="preserve"> </w:t>
            </w:r>
            <w:hyperlink w:anchor="KGLJervoisCopper813" w:history="1">
              <w:r w:rsidRPr="00675C30">
                <w:rPr>
                  <w:rStyle w:val="Hyperlink"/>
                </w:rPr>
                <w:t>Jervois Copper Project near</w:t>
              </w:r>
              <w:r>
                <w:rPr>
                  <w:rStyle w:val="Hyperlink"/>
                </w:rPr>
                <w:t>-</w:t>
              </w:r>
              <w:r w:rsidRPr="00675C30">
                <w:rPr>
                  <w:rStyle w:val="Hyperlink"/>
                </w:rPr>
                <w:t xml:space="preserve">term construction and development </w:t>
              </w:r>
              <w:r>
                <w:rPr>
                  <w:rStyle w:val="Hyperlink"/>
                </w:rPr>
                <w:t>milestones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491141" w:rsidRDefault="00226FBC" w:rsidP="00520FA1">
            <w:pPr>
              <w:pStyle w:val="NoSpacing"/>
            </w:pPr>
            <w:r w:rsidRPr="0073419A">
              <w:t>Austral Resources</w:t>
            </w:r>
            <w:r>
              <w:t xml:space="preserve"> - </w:t>
            </w:r>
            <w:hyperlink w:anchor="AR1LadyAnnieCu813" w:history="1">
              <w:r w:rsidRPr="00B002D8">
                <w:rPr>
                  <w:rStyle w:val="Hyperlink"/>
                </w:rPr>
                <w:t xml:space="preserve">Rocklands Copper Project </w:t>
              </w:r>
              <w:r>
                <w:rPr>
                  <w:rStyle w:val="Hyperlink"/>
                </w:rPr>
                <w:t>restart on schedule and on-track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7804F3" w:rsidRDefault="00226FBC" w:rsidP="00520FA1">
            <w:pPr>
              <w:pStyle w:val="NoSpacing"/>
            </w:pPr>
            <w:r w:rsidRPr="00D52515">
              <w:t>Ballymore Resources</w:t>
            </w:r>
            <w:r>
              <w:t xml:space="preserve"> - </w:t>
            </w:r>
            <w:hyperlink w:anchor="BMRDittmerGold813" w:history="1">
              <w:r w:rsidRPr="009A662C">
                <w:rPr>
                  <w:rStyle w:val="Hyperlink"/>
                </w:rPr>
                <w:t>$4.7M Rais</w:t>
              </w:r>
              <w:r>
                <w:rPr>
                  <w:rStyle w:val="Hyperlink"/>
                </w:rPr>
                <w:t>ed</w:t>
              </w:r>
              <w:r w:rsidRPr="009A662C">
                <w:rPr>
                  <w:rStyle w:val="Hyperlink"/>
                </w:rPr>
                <w:t xml:space="preserve"> to drill high-priority Cu-Au-Ag targets at Dittmer, R</w:t>
              </w:r>
              <w:r>
                <w:rPr>
                  <w:rStyle w:val="Hyperlink"/>
                </w:rPr>
                <w:t>uddygore and Ravenswood project</w:t>
              </w:r>
              <w:r w:rsidRPr="009A662C">
                <w:rPr>
                  <w:rStyle w:val="Hyperlink"/>
                </w:rPr>
                <w:t>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9A6D4E" w:rsidRDefault="00226FBC" w:rsidP="00520FA1">
            <w:r w:rsidRPr="004D0A95">
              <w:t>Lithium Energy</w:t>
            </w:r>
            <w:r>
              <w:t xml:space="preserve"> - </w:t>
            </w:r>
            <w:hyperlink w:anchor="LELMinerals813" w:history="1">
              <w:r w:rsidRPr="004D0A95">
                <w:rPr>
                  <w:rStyle w:val="Hyperlink"/>
                </w:rPr>
                <w:t>Rebrands as LE Minerals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:rsidR="00226FBC" w:rsidRPr="00545470" w:rsidRDefault="00226FBC" w:rsidP="00520FA1">
            <w:r w:rsidRPr="002B4665">
              <w:t xml:space="preserve">Coda Minerals </w:t>
            </w:r>
            <w:r>
              <w:t>-</w:t>
            </w:r>
            <w:r w:rsidRPr="002B4665">
              <w:t xml:space="preserve"> </w:t>
            </w:r>
            <w:hyperlink w:anchor="CODElizabethCreekCopper813" w:history="1">
              <w:r w:rsidRPr="0006402E">
                <w:rPr>
                  <w:rStyle w:val="Hyperlink"/>
                </w:rPr>
                <w:t>$6.7</w:t>
              </w:r>
              <w:r>
                <w:rPr>
                  <w:rStyle w:val="Hyperlink"/>
                </w:rPr>
                <w:t>M Raised for E</w:t>
              </w:r>
              <w:r w:rsidRPr="0006402E">
                <w:rPr>
                  <w:rStyle w:val="Hyperlink"/>
                </w:rPr>
                <w:t xml:space="preserve">lizabeth Creek Copper Cobalt Project </w:t>
              </w:r>
              <w:r>
                <w:rPr>
                  <w:rStyle w:val="Hyperlink"/>
                </w:rPr>
                <w:t>PFS programs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:rsidR="00226FBC" w:rsidRPr="00607A6B" w:rsidRDefault="00226FBC" w:rsidP="00520FA1">
            <w:pPr>
              <w:pStyle w:val="NoSpacing"/>
            </w:pPr>
            <w:r w:rsidRPr="00DD5C0C">
              <w:t>Lincoln Minerals</w:t>
            </w:r>
            <w:r>
              <w:t xml:space="preserve"> - </w:t>
            </w:r>
            <w:hyperlink w:anchor="LMLMinbrieCopper813" w:history="1">
              <w:r>
                <w:rPr>
                  <w:rStyle w:val="Hyperlink"/>
                </w:rPr>
                <w:t>$3.1M Raised for Minbrie C</w:t>
              </w:r>
              <w:r w:rsidRPr="00463791">
                <w:rPr>
                  <w:rStyle w:val="Hyperlink"/>
                </w:rPr>
                <w:t xml:space="preserve">opper </w:t>
              </w:r>
              <w:r>
                <w:rPr>
                  <w:rStyle w:val="Hyperlink"/>
                </w:rPr>
                <w:t>Project drilling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B6E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:rsidR="00226FBC" w:rsidRPr="006B6EBC" w:rsidRDefault="00226FBC" w:rsidP="00520FA1">
            <w:r w:rsidRPr="006B6EBC">
              <w:t xml:space="preserve">Lode Resources - </w:t>
            </w:r>
            <w:hyperlink w:anchor="LDRGranvilleTin813" w:history="1">
              <w:r w:rsidRPr="006B6EBC">
                <w:rPr>
                  <w:rStyle w:val="Hyperlink"/>
                </w:rPr>
                <w:t>Granville Tin Project maiden drilling program licking-off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TAS</w:t>
            </w:r>
          </w:p>
        </w:tc>
        <w:tc>
          <w:tcPr>
            <w:tcW w:w="7230" w:type="dxa"/>
          </w:tcPr>
          <w:p w:rsidR="00226FBC" w:rsidRPr="00BF1B69" w:rsidRDefault="00226FBC" w:rsidP="00520FA1">
            <w:pPr>
              <w:pStyle w:val="NoSpacing"/>
            </w:pPr>
            <w:r w:rsidRPr="00FC76B0">
              <w:t>Lode Resources</w:t>
            </w:r>
            <w:r>
              <w:t xml:space="preserve"> - </w:t>
            </w:r>
            <w:hyperlink w:anchor="LDRMontezumaAgSb813" w:history="1">
              <w:r w:rsidRPr="00EC12C0">
                <w:rPr>
                  <w:rStyle w:val="Hyperlink"/>
                </w:rPr>
                <w:t xml:space="preserve">Montezuma Silver &amp; Antimony Project expanded with new </w:t>
              </w:r>
              <w:r>
                <w:rPr>
                  <w:rStyle w:val="Hyperlink"/>
                </w:rPr>
                <w:t>Ag-Zn</w:t>
              </w:r>
              <w:r w:rsidRPr="00EC12C0">
                <w:rPr>
                  <w:rStyle w:val="Hyperlink"/>
                </w:rPr>
                <w:t xml:space="preserve"> mineralisation system discovery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F255AA" w:rsidRDefault="00226FBC" w:rsidP="00520FA1">
            <w:pPr>
              <w:pStyle w:val="NoSpacing"/>
            </w:pPr>
            <w:r w:rsidRPr="006716C7">
              <w:t>Anax Metals</w:t>
            </w:r>
            <w:r>
              <w:t xml:space="preserve"> - </w:t>
            </w:r>
            <w:hyperlink w:anchor="ANXWhimCreekCopper813" w:history="1">
              <w:r w:rsidRPr="005F1846">
                <w:rPr>
                  <w:rStyle w:val="Hyperlink"/>
                </w:rPr>
                <w:t xml:space="preserve">$6M Raised </w:t>
              </w:r>
              <w:r>
                <w:rPr>
                  <w:rStyle w:val="Hyperlink"/>
                </w:rPr>
                <w:t xml:space="preserve">for </w:t>
              </w:r>
              <w:r w:rsidRPr="005F1846">
                <w:rPr>
                  <w:rStyle w:val="Hyperlink"/>
                </w:rPr>
                <w:t>Whim Creek Copper Project high-impact exploration drilling program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2656A6" w:rsidRDefault="00226FBC" w:rsidP="00520FA1">
            <w:pPr>
              <w:pStyle w:val="NoSpacing"/>
            </w:pPr>
            <w:r w:rsidRPr="00E74825">
              <w:t>Danakali</w:t>
            </w:r>
            <w:r>
              <w:t xml:space="preserve"> - </w:t>
            </w:r>
            <w:hyperlink w:anchor="DKNGascoyne813" w:history="1">
              <w:r w:rsidRPr="00E74825">
                <w:rPr>
                  <w:rStyle w:val="Hyperlink"/>
                </w:rPr>
                <w:t>Gascoyne and Murchison field programs underway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372491" w:rsidRDefault="00226FBC" w:rsidP="00520FA1">
            <w:pPr>
              <w:pStyle w:val="NoSpacing"/>
            </w:pPr>
            <w:r w:rsidRPr="00667ADD">
              <w:t>Element 25</w:t>
            </w:r>
            <w:r>
              <w:t xml:space="preserve"> - </w:t>
            </w:r>
            <w:hyperlink w:anchor="E25ButcherbirdManganese813" w:history="1">
              <w:r w:rsidRPr="002660BB">
                <w:rPr>
                  <w:rStyle w:val="Hyperlink"/>
                </w:rPr>
                <w:t>Butcherbird Expansion Project major contracts nearing finalisation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9C1605" w:rsidRDefault="00226FBC" w:rsidP="00520FA1">
            <w:pPr>
              <w:pStyle w:val="NoSpacing"/>
            </w:pPr>
            <w:r>
              <w:t xml:space="preserve">McLaren Minerals - </w:t>
            </w:r>
            <w:hyperlink w:anchor="MMLMcLarenTitanium813" w:history="1">
              <w:r w:rsidRPr="004D3561">
                <w:rPr>
                  <w:rStyle w:val="Hyperlink"/>
                </w:rPr>
                <w:t>McLaren Titanium Project resource upgrade drilling delivers strong initial results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114F04" w:rsidRDefault="00226FBC" w:rsidP="00520FA1">
            <w:pPr>
              <w:pStyle w:val="NoSpacing"/>
            </w:pPr>
            <w:r w:rsidRPr="00811311">
              <w:t xml:space="preserve">Nimy Resources </w:t>
            </w:r>
            <w:r>
              <w:t xml:space="preserve">- </w:t>
            </w:r>
            <w:hyperlink w:anchor="NIMMonsBlock3Gallium813" w:history="1">
              <w:r w:rsidRPr="00530EE4">
                <w:rPr>
                  <w:rStyle w:val="Hyperlink"/>
                </w:rPr>
                <w:t xml:space="preserve">Mons Critical Minerals Project Block 3 </w:t>
              </w:r>
              <w:r>
                <w:rPr>
                  <w:rStyle w:val="Hyperlink"/>
                </w:rPr>
                <w:t>G</w:t>
              </w:r>
              <w:r w:rsidRPr="00530EE4">
                <w:rPr>
                  <w:rStyle w:val="Hyperlink"/>
                </w:rPr>
                <w:t xml:space="preserve">allium </w:t>
              </w:r>
              <w:r>
                <w:rPr>
                  <w:rStyle w:val="Hyperlink"/>
                </w:rPr>
                <w:t>Scoping Study results pending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30089C" w:rsidRDefault="00226FBC" w:rsidP="00520FA1">
            <w:pPr>
              <w:pStyle w:val="NoSpacing"/>
            </w:pPr>
            <w:r w:rsidRPr="00A00FF4">
              <w:t xml:space="preserve">Victory Metals </w:t>
            </w:r>
            <w:r>
              <w:t>-</w:t>
            </w:r>
            <w:r w:rsidRPr="00A00FF4">
              <w:t xml:space="preserve"> </w:t>
            </w:r>
            <w:hyperlink w:anchor="VTMNorthStanmoreREE813" w:history="1">
              <w:r w:rsidRPr="00B04577">
                <w:rPr>
                  <w:rStyle w:val="Hyperlink"/>
                </w:rPr>
                <w:t xml:space="preserve">Stanmore REE Project Traditional Owner Agreement </w:t>
              </w:r>
              <w:r>
                <w:rPr>
                  <w:rStyle w:val="Hyperlink"/>
                </w:rPr>
                <w:t>signed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B6E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6B6EBC" w:rsidRDefault="00226FBC" w:rsidP="00520FA1">
            <w:r w:rsidRPr="006B6EBC">
              <w:t xml:space="preserve">Western Yilgarn - </w:t>
            </w:r>
            <w:hyperlink w:anchor="WYXCardea1Gallium813" w:history="1">
              <w:r w:rsidRPr="006B6EBC">
                <w:rPr>
                  <w:rStyle w:val="Hyperlink"/>
                </w:rPr>
                <w:t>Cardea 1 Gallium Project advancing towards resource evaluation and metallurgical assessment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General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302753" w:rsidRDefault="00226FBC" w:rsidP="00520FA1">
            <w:pPr>
              <w:pStyle w:val="NoSpacing"/>
            </w:pPr>
            <w:r>
              <w:t xml:space="preserve">Western Yilgarn - </w:t>
            </w:r>
            <w:hyperlink w:anchor="WYXNorthernDarlingRangeBauxite813" w:history="1">
              <w:r w:rsidRPr="00D1165E">
                <w:rPr>
                  <w:rStyle w:val="Hyperlink"/>
                </w:rPr>
                <w:t>Northern Darling Range bauxite projects Technical Adviser appointed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B90C5B" w:rsidRDefault="00226FBC" w:rsidP="00520FA1">
            <w:pPr>
              <w:pStyle w:val="NoSpacing"/>
            </w:pPr>
            <w:r w:rsidRPr="007A1A3D">
              <w:t>Adavale Resources</w:t>
            </w:r>
            <w:r>
              <w:t xml:space="preserve"> - </w:t>
            </w:r>
            <w:hyperlink w:anchor="ADDParkesGold813" w:history="1">
              <w:r w:rsidRPr="00F05D96">
                <w:rPr>
                  <w:rStyle w:val="Hyperlink"/>
                </w:rPr>
                <w:t>Parkes Project gold resource grows by 44% to 166koz with the tenement acquisitions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012ACC" w:rsidRDefault="00226FBC" w:rsidP="00520FA1">
            <w:pPr>
              <w:pStyle w:val="NoSpacing"/>
            </w:pPr>
            <w:r w:rsidRPr="003C1E68">
              <w:t>Hill Tops Gold</w:t>
            </w:r>
            <w:r>
              <w:t xml:space="preserve"> - </w:t>
            </w:r>
            <w:hyperlink w:anchor="HillTopsHardenGold813" w:history="1">
              <w:r w:rsidRPr="00654854">
                <w:rPr>
                  <w:rStyle w:val="Hyperlink"/>
                </w:rPr>
                <w:t>Harden Gold Project drilling underway ahead of IPO &amp; ASX listing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B6E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6B6EBC" w:rsidRDefault="00226FBC" w:rsidP="00520FA1">
            <w:r w:rsidRPr="006B6EBC">
              <w:t xml:space="preserve">Koonenberry Gold - </w:t>
            </w:r>
            <w:hyperlink w:anchor="KNBEnmoreGold813" w:history="1">
              <w:r w:rsidRPr="006B6EBC">
                <w:rPr>
                  <w:rStyle w:val="Hyperlink"/>
                </w:rPr>
                <w:t>Enmore Gold Project resource potential expanded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171869" w:rsidRDefault="00226FBC" w:rsidP="00520FA1">
            <w:r w:rsidRPr="00796105">
              <w:t xml:space="preserve">Koonenberry Gold - </w:t>
            </w:r>
            <w:hyperlink w:anchor="KNBLachlanCuAu813" w:history="1">
              <w:r w:rsidRPr="00796105">
                <w:rPr>
                  <w:rStyle w:val="Hyperlink"/>
                </w:rPr>
                <w:t>Lachlan Copper-Gold Projects exploration plans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012ACC" w:rsidRDefault="00226FBC" w:rsidP="00520FA1">
            <w:pPr>
              <w:pStyle w:val="NoSpacing"/>
            </w:pPr>
            <w:r w:rsidRPr="00C54593">
              <w:t xml:space="preserve">Legacy Minerals Holdings - </w:t>
            </w:r>
            <w:hyperlink w:anchor="LGMThomsonAuAg813" w:history="1">
              <w:r w:rsidRPr="00C54593">
                <w:rPr>
                  <w:rStyle w:val="Hyperlink"/>
                </w:rPr>
                <w:t>Thomson Projec</w:t>
              </w:r>
              <w:r>
                <w:rPr>
                  <w:rStyle w:val="Hyperlink"/>
                </w:rPr>
                <w:t>t being reassessed through precious metals perspective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:rsidR="00226FBC" w:rsidRPr="00273EA1" w:rsidRDefault="00226FBC" w:rsidP="00520FA1">
            <w:pPr>
              <w:pStyle w:val="NoSpacing"/>
            </w:pPr>
            <w:r>
              <w:t xml:space="preserve">Waratah Minerals - </w:t>
            </w:r>
            <w:hyperlink w:anchor="WTMSpurAuCu813" w:history="1">
              <w:r w:rsidRPr="00221790">
                <w:rPr>
                  <w:rStyle w:val="Hyperlink"/>
                </w:rPr>
                <w:t xml:space="preserve">Goldenclad Mining </w:t>
              </w:r>
              <w:r>
                <w:rPr>
                  <w:rStyle w:val="Hyperlink"/>
                </w:rPr>
                <w:t xml:space="preserve">&amp; Gold </w:t>
              </w:r>
              <w:r w:rsidRPr="00221790">
                <w:rPr>
                  <w:rStyle w:val="Hyperlink"/>
                </w:rPr>
                <w:t>Lease</w:t>
              </w:r>
              <w:r>
                <w:rPr>
                  <w:rStyle w:val="Hyperlink"/>
                </w:rPr>
                <w:t xml:space="preserve"> acquisitions expand </w:t>
              </w:r>
              <w:r w:rsidRPr="00221790">
                <w:rPr>
                  <w:rStyle w:val="Hyperlink"/>
                </w:rPr>
                <w:t xml:space="preserve">Spur Gold Project resource </w:t>
              </w:r>
              <w:r>
                <w:rPr>
                  <w:rStyle w:val="Hyperlink"/>
                </w:rPr>
                <w:t>potential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2A0639" w:rsidRDefault="00226FBC" w:rsidP="00520FA1">
            <w:pPr>
              <w:pStyle w:val="NoSpacing"/>
            </w:pPr>
            <w:r w:rsidRPr="00F054D4">
              <w:t>Manda Resources</w:t>
            </w:r>
            <w:r>
              <w:t xml:space="preserve"> - </w:t>
            </w:r>
            <w:hyperlink w:anchor="MandaNthQLDGold813" w:history="1">
              <w:r w:rsidRPr="001F2A32">
                <w:rPr>
                  <w:rStyle w:val="Hyperlink"/>
                </w:rPr>
                <w:t>$9M Pre-IPO Raised for North Queensland focused gold project portfolio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:rsidR="00226FBC" w:rsidRPr="00165FD6" w:rsidRDefault="00226FBC" w:rsidP="00520FA1">
            <w:pPr>
              <w:pStyle w:val="NoSpacing"/>
            </w:pPr>
            <w:r>
              <w:t xml:space="preserve">Barton Gold - </w:t>
            </w:r>
            <w:hyperlink w:anchor="BGDGawlerCratonGold813" w:history="1">
              <w:r w:rsidRPr="00B74BC2">
                <w:rPr>
                  <w:rStyle w:val="Hyperlink"/>
                </w:rPr>
                <w:t>$25M Raised to fully fund delivery of several key milestones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:rsidR="00226FBC" w:rsidRPr="00880DFB" w:rsidRDefault="00226FBC" w:rsidP="00520FA1">
            <w:pPr>
              <w:pStyle w:val="NoSpacing"/>
            </w:pPr>
            <w:r w:rsidRPr="00EE3FDC">
              <w:rPr>
                <w:color w:val="000000"/>
              </w:rPr>
              <w:t>Pacgold</w:t>
            </w:r>
            <w:r w:rsidRPr="00041F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hyperlink w:anchor="PGOWhiteDamGold813" w:history="1">
              <w:r w:rsidRPr="007A3C8A">
                <w:rPr>
                  <w:rStyle w:val="Hyperlink"/>
                </w:rPr>
                <w:t>White Dam Gold Project forthcoming MRE fast-tracking restart of open pit mining operations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DB095C" w:rsidRDefault="00226FBC" w:rsidP="00520FA1">
            <w:pPr>
              <w:pStyle w:val="NoSpacing"/>
            </w:pPr>
            <w:r w:rsidRPr="00894C35">
              <w:t>Avenira</w:t>
            </w:r>
            <w:r>
              <w:t xml:space="preserve"> - </w:t>
            </w:r>
            <w:hyperlink w:anchor="AEVJundeeSouthGold813" w:history="1">
              <w:r w:rsidRPr="005C5A11">
                <w:rPr>
                  <w:rStyle w:val="Hyperlink"/>
                </w:rPr>
                <w:t>$2.6M Jundee South Gold Project exploration budget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A66A97" w:rsidRDefault="00226FBC" w:rsidP="00520FA1">
            <w:pPr>
              <w:pStyle w:val="NoSpacing"/>
            </w:pPr>
            <w:r w:rsidRPr="0032603B">
              <w:t>Desert Metals</w:t>
            </w:r>
            <w:r>
              <w:t xml:space="preserve"> - </w:t>
            </w:r>
            <w:hyperlink w:anchor="DSMMongerGold813" w:history="1">
              <w:r w:rsidRPr="0032603B">
                <w:rPr>
                  <w:rStyle w:val="Hyperlink"/>
                </w:rPr>
                <w:t>Monger Gold Project drilling commencement pending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F3121E" w:rsidRDefault="00226FBC" w:rsidP="00520FA1">
            <w:pPr>
              <w:pStyle w:val="NoSpacing"/>
            </w:pPr>
            <w:r>
              <w:t xml:space="preserve">Kalgoorlie Gold Mining - </w:t>
            </w:r>
            <w:hyperlink w:anchor="KALPinjinGold813" w:history="1">
              <w:r w:rsidRPr="000F51E0">
                <w:rPr>
                  <w:rStyle w:val="Hyperlink"/>
                </w:rPr>
                <w:t xml:space="preserve">Pinjin Gold Project </w:t>
              </w:r>
              <w:r>
                <w:rPr>
                  <w:rStyle w:val="Hyperlink"/>
                </w:rPr>
                <w:t>AC drilling brought forward ahead of next phase of RC drilling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0966A7" w:rsidRDefault="00226FBC" w:rsidP="00520FA1">
            <w:pPr>
              <w:pStyle w:val="NoSpacing"/>
            </w:pPr>
            <w:r w:rsidRPr="00585C7D">
              <w:t>Lodestar Minerals</w:t>
            </w:r>
            <w:r>
              <w:t xml:space="preserve"> - </w:t>
            </w:r>
            <w:hyperlink w:anchor="LSRNedsCreekGold813" w:history="1">
              <w:r w:rsidRPr="00D02F7C">
                <w:rPr>
                  <w:rStyle w:val="Hyperlink"/>
                </w:rPr>
                <w:t>$4.4M Raised for exploration including Ned’s Creek Gold Project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190D63" w:rsidRDefault="00226FBC" w:rsidP="00520FA1">
            <w:pPr>
              <w:pStyle w:val="NoSpacing"/>
            </w:pPr>
            <w:r w:rsidRPr="0052231B">
              <w:t>Maritana Minerals</w:t>
            </w:r>
            <w:r>
              <w:t xml:space="preserve"> - </w:t>
            </w:r>
            <w:hyperlink w:anchor="MRTBlackSwanGold813" w:history="1">
              <w:r w:rsidRPr="0052231B">
                <w:rPr>
                  <w:rStyle w:val="Hyperlink"/>
                </w:rPr>
                <w:t>COO appointed as Company transitions into a standalone gold producer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ED13CA" w:rsidRDefault="00226FBC" w:rsidP="00520FA1">
            <w:pPr>
              <w:pStyle w:val="NoSpacing"/>
            </w:pPr>
            <w:r w:rsidRPr="008022D7">
              <w:t>Monument Mining</w:t>
            </w:r>
            <w:r w:rsidRPr="006B7B12">
              <w:t xml:space="preserve"> - </w:t>
            </w:r>
            <w:hyperlink w:anchor="MMYMurchisonGold813" w:history="1">
              <w:r w:rsidRPr="006B7B12">
                <w:rPr>
                  <w:rStyle w:val="Hyperlink"/>
                </w:rPr>
                <w:t>Murchison Gold Project production restart planning progressing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E16E0D" w:rsidRDefault="00226FBC" w:rsidP="00520FA1">
            <w:pPr>
              <w:pStyle w:val="NoSpacing"/>
            </w:pPr>
            <w:r w:rsidRPr="00666437">
              <w:t>Sentinel Exploration</w:t>
            </w:r>
            <w:r>
              <w:t xml:space="preserve"> - </w:t>
            </w:r>
            <w:hyperlink w:anchor="SOXMardaEastGold813" w:history="1">
              <w:r w:rsidRPr="00911A4F">
                <w:rPr>
                  <w:rStyle w:val="Hyperlink"/>
                </w:rPr>
                <w:t>Marda East Gold Project RC drilling assays pending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6224C2" w:rsidRDefault="00226FBC" w:rsidP="00520FA1">
            <w:pPr>
              <w:rPr>
                <w:color w:val="000000"/>
              </w:rPr>
            </w:pPr>
            <w:r w:rsidRPr="00C1481E">
              <w:t xml:space="preserve">Tasman Resources </w:t>
            </w:r>
            <w:r>
              <w:t>-</w:t>
            </w:r>
            <w:r w:rsidRPr="00C1481E">
              <w:t xml:space="preserve"> </w:t>
            </w:r>
            <w:hyperlink w:anchor="TASParkinsonDamIOCG813" w:history="1">
              <w:r>
                <w:rPr>
                  <w:rStyle w:val="Hyperlink"/>
                </w:rPr>
                <w:t xml:space="preserve">$4M Raised </w:t>
              </w:r>
              <w:r w:rsidRPr="00C1481E">
                <w:rPr>
                  <w:rStyle w:val="Hyperlink"/>
                </w:rPr>
                <w:t>for Parkinson Dam Project drilling program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AF50F1" w:rsidRDefault="00226FBC" w:rsidP="00520FA1">
            <w:pPr>
              <w:pStyle w:val="NoSpacing"/>
            </w:pPr>
            <w:r w:rsidRPr="00F4108E">
              <w:t>Valiant Gold</w:t>
            </w:r>
            <w:r>
              <w:t xml:space="preserve"> - </w:t>
            </w:r>
            <w:hyperlink w:anchor="VALReedyCometGold813" w:history="1">
              <w:r w:rsidRPr="007222E1">
                <w:rPr>
                  <w:rStyle w:val="Hyperlink"/>
                </w:rPr>
                <w:t>Mako Mining as Comet mining services contractor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3E7334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Gold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D308C3" w:rsidRDefault="00226FBC" w:rsidP="00520FA1">
            <w:pPr>
              <w:pStyle w:val="NoSpacing"/>
            </w:pPr>
            <w:r>
              <w:t xml:space="preserve">WIN Metals - </w:t>
            </w:r>
            <w:hyperlink w:anchor="WINRadioGold813" w:history="1">
              <w:r w:rsidRPr="00E2121E">
                <w:rPr>
                  <w:rStyle w:val="Hyperlink"/>
                </w:rPr>
                <w:t xml:space="preserve">Radio Gold Project </w:t>
              </w:r>
              <w:r>
                <w:rPr>
                  <w:rStyle w:val="Hyperlink"/>
                </w:rPr>
                <w:t>MRE update moves development decision closer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Hydrocarbons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:rsidR="00226FBC" w:rsidRPr="004D0CD7" w:rsidRDefault="00226FBC" w:rsidP="00520FA1">
            <w:pPr>
              <w:pStyle w:val="NoSpacing"/>
            </w:pPr>
            <w:r>
              <w:t xml:space="preserve">Bounty Oil &amp; Gas - </w:t>
            </w:r>
            <w:hyperlink w:anchor="BUYHydrocarbons813" w:history="1">
              <w:r w:rsidRPr="0078337C">
                <w:rPr>
                  <w:rStyle w:val="Hyperlink"/>
                </w:rPr>
                <w:t>$4.5M Raised for QLD &amp; WA operations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B6E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Hydrocarbons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:rsidR="00226FBC" w:rsidRPr="006B6EBC" w:rsidRDefault="00226FBC" w:rsidP="00520FA1">
            <w:r w:rsidRPr="006B6EBC">
              <w:t xml:space="preserve">Bounty Oil &amp; Gas </w:t>
            </w:r>
            <w:r>
              <w:t>-</w:t>
            </w:r>
            <w:r w:rsidRPr="006B6EBC">
              <w:t xml:space="preserve"> </w:t>
            </w:r>
            <w:hyperlink w:anchor="BUTQLDHydrocarbons813" w:history="1">
              <w:r w:rsidRPr="006B6EBC">
                <w:rPr>
                  <w:rStyle w:val="Hyperlink"/>
                </w:rPr>
                <w:t>Potential QLD Surat Basin asset divestment to Jereh Energy Solutions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Iron Ore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DB786D" w:rsidRDefault="00226FBC" w:rsidP="00520FA1">
            <w:pPr>
              <w:pStyle w:val="NoSpacing"/>
            </w:pPr>
            <w:r w:rsidRPr="006B7B12">
              <w:t xml:space="preserve">Burley Minerals </w:t>
            </w:r>
            <w:r>
              <w:t>-</w:t>
            </w:r>
            <w:r w:rsidRPr="006B7B12">
              <w:t xml:space="preserve"> </w:t>
            </w:r>
            <w:hyperlink w:anchor="BURCaneBoreIronOre813" w:history="1">
              <w:r>
                <w:rPr>
                  <w:rStyle w:val="Hyperlink"/>
                </w:rPr>
                <w:t>C</w:t>
              </w:r>
              <w:r w:rsidRPr="006B7B12">
                <w:rPr>
                  <w:rStyle w:val="Hyperlink"/>
                </w:rPr>
                <w:t>ane Bore Iron Project drilling progra</w:t>
              </w:r>
              <w:r>
                <w:rPr>
                  <w:rStyle w:val="Hyperlink"/>
                </w:rPr>
                <w:t xml:space="preserve">m heritage survey </w:t>
              </w:r>
              <w:r>
                <w:rPr>
                  <w:rStyle w:val="Hyperlink"/>
                </w:rPr>
                <w:lastRenderedPageBreak/>
                <w:t>kicking off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lastRenderedPageBreak/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lastRenderedPageBreak/>
              <w:t>Mining Iron Ore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5705FE" w:rsidRDefault="00226FBC" w:rsidP="00520FA1">
            <w:pPr>
              <w:pStyle w:val="NoSpacing"/>
            </w:pPr>
            <w:r w:rsidRPr="00407AF6">
              <w:t>Nyapiri Macro Mining</w:t>
            </w:r>
            <w:r>
              <w:t xml:space="preserve"> - </w:t>
            </w:r>
            <w:hyperlink w:anchor="M4MNyapiriMining813" w:history="1">
              <w:r w:rsidRPr="007733EE">
                <w:rPr>
                  <w:rStyle w:val="Hyperlink"/>
                </w:rPr>
                <w:t>Awarded its first Work Package Instruction by BHP Iron Ore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Mining Mineral Sands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:rsidR="00226FBC" w:rsidRPr="0055025E" w:rsidRDefault="00226FBC" w:rsidP="00520FA1">
            <w:pPr>
              <w:pStyle w:val="NoSpacing"/>
            </w:pPr>
            <w:r>
              <w:t xml:space="preserve">VRX Silica - </w:t>
            </w:r>
            <w:hyperlink w:anchor="VRXArrowsmithNorthSilicaSand813" w:history="1">
              <w:r w:rsidRPr="00F34354">
                <w:rPr>
                  <w:rStyle w:val="Hyperlink"/>
                </w:rPr>
                <w:t>$6.2M Raising to advance Arrowsmith North and Muchea silica sand projects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Transport &amp; Logistics Port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9F2D17" w:rsidRDefault="00226FBC" w:rsidP="00520FA1">
            <w:pPr>
              <w:pStyle w:val="NoSpacing"/>
            </w:pPr>
            <w:r w:rsidRPr="005305F6">
              <w:t>Sugar Terminals</w:t>
            </w:r>
            <w:r>
              <w:t xml:space="preserve"> - </w:t>
            </w:r>
            <w:hyperlink w:anchor="SUGSugarTerminals813" w:history="1">
              <w:r w:rsidRPr="00884E48">
                <w:rPr>
                  <w:rStyle w:val="Hyperlink"/>
                </w:rPr>
                <w:t xml:space="preserve">Bulk Sugar Terminals Operational Insourcing Program </w:t>
              </w:r>
              <w:r>
                <w:rPr>
                  <w:rStyle w:val="Hyperlink"/>
                </w:rPr>
                <w:t>on track for 1 July target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B6E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Transport &amp; Logistics Rail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6B6EBC" w:rsidRDefault="00226FBC" w:rsidP="00520FA1">
            <w:r w:rsidRPr="006B6EBC">
              <w:t xml:space="preserve">Alstom / UGL </w:t>
            </w:r>
            <w:r>
              <w:t>-</w:t>
            </w:r>
            <w:r w:rsidRPr="006B6EBC">
              <w:t xml:space="preserve"> </w:t>
            </w:r>
            <w:hyperlink w:anchor="AlstomUGLWaveRail813" w:history="1">
              <w:r w:rsidRPr="006B6EBC">
                <w:rPr>
                  <w:rStyle w:val="Hyperlink"/>
                </w:rPr>
                <w:t>Awarded signalling contract for Wave - Stage 1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224C2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Transport &amp; Logistics Rail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DA6ACA" w:rsidRDefault="00226FBC" w:rsidP="00520FA1">
            <w:pPr>
              <w:pStyle w:val="NoSpacing"/>
            </w:pPr>
            <w:r w:rsidRPr="007F6412">
              <w:t>Beerwah Coast Connect</w:t>
            </w:r>
            <w:r>
              <w:t xml:space="preserve"> - </w:t>
            </w:r>
            <w:hyperlink w:anchor="BeerwahWaveRail813" w:history="1">
              <w:r w:rsidRPr="007F6412">
                <w:rPr>
                  <w:rStyle w:val="Hyperlink"/>
                </w:rPr>
                <w:t>Awarded brownfield design and pre-construction works for Wave - Stage 1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B6E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Transport &amp; Logistics Rail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6B6EBC" w:rsidRDefault="00226FBC" w:rsidP="00520FA1">
            <w:r w:rsidRPr="006B6EBC">
              <w:t xml:space="preserve">CoastalTraX - </w:t>
            </w:r>
            <w:hyperlink w:anchor="CoastalTraXWaveRail813" w:history="1">
              <w:r w:rsidRPr="006B6EBC">
                <w:rPr>
                  <w:rStyle w:val="Hyperlink"/>
                </w:rPr>
                <w:t>Awarded greenfield design and pre-construction works for Wave - Stage 1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6B6EBC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Transport &amp; Logistics Rail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6B6EBC" w:rsidRDefault="00226FBC" w:rsidP="00520FA1">
            <w:r w:rsidRPr="006B6EBC">
              <w:t xml:space="preserve">Queensland Government - </w:t>
            </w:r>
            <w:hyperlink w:anchor="QLDGovB2NRail813" w:history="1">
              <w:r w:rsidRPr="006B6EBC">
                <w:rPr>
                  <w:rStyle w:val="Hyperlink"/>
                </w:rPr>
                <w:t>Beerburrum to Nambour Rail Stage 1 detailed designs released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  <w:tr w:rsidR="00226FBC" w:rsidRPr="005705FE" w:rsidTr="00226FBC">
        <w:tc>
          <w:tcPr>
            <w:tcW w:w="1561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Transport &amp; Logistics Road</w:t>
            </w:r>
          </w:p>
        </w:tc>
        <w:tc>
          <w:tcPr>
            <w:tcW w:w="707" w:type="dxa"/>
          </w:tcPr>
          <w:p w:rsidR="00226FBC" w:rsidRPr="00226FBC" w:rsidRDefault="00226FBC" w:rsidP="00520FA1">
            <w:pPr>
              <w:rPr>
                <w:color w:val="000000"/>
                <w:sz w:val="16"/>
                <w:szCs w:val="16"/>
              </w:rPr>
            </w:pPr>
            <w:r w:rsidRPr="00226FBC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:rsidR="00226FBC" w:rsidRPr="0082737C" w:rsidRDefault="00226FBC" w:rsidP="00520FA1">
            <w:pPr>
              <w:pStyle w:val="NoSpacing"/>
            </w:pPr>
            <w:r>
              <w:t xml:space="preserve">Queensland Government - </w:t>
            </w:r>
            <w:hyperlink w:anchor="QLDGovSWQLDRoads813" w:history="1">
              <w:r w:rsidRPr="00A06F22">
                <w:rPr>
                  <w:rStyle w:val="Hyperlink"/>
                </w:rPr>
                <w:t>South-western supply routes major projects progress to detailed design phase</w:t>
              </w:r>
            </w:hyperlink>
          </w:p>
        </w:tc>
        <w:tc>
          <w:tcPr>
            <w:tcW w:w="567" w:type="dxa"/>
          </w:tcPr>
          <w:p w:rsidR="00226FBC" w:rsidRPr="00226FBC" w:rsidRDefault="00226FBC" w:rsidP="00520FA1">
            <w:pPr>
              <w:rPr>
                <w:sz w:val="16"/>
                <w:szCs w:val="16"/>
              </w:rPr>
            </w:pPr>
            <w:r w:rsidRPr="00226FBC">
              <w:rPr>
                <w:color w:val="000000"/>
                <w:sz w:val="16"/>
                <w:szCs w:val="16"/>
              </w:rPr>
              <w:t>813</w:t>
            </w:r>
          </w:p>
        </w:tc>
      </w:tr>
    </w:tbl>
    <w:p w:rsidR="00A05D8C" w:rsidRDefault="00A05D8C" w:rsidP="00A05D8C"/>
    <w:p w:rsidR="00581B3D" w:rsidRDefault="00581B3D" w:rsidP="00581B3D">
      <w:pPr>
        <w:rPr>
          <w:color w:val="000000"/>
        </w:rPr>
      </w:pPr>
    </w:p>
    <w:p w:rsidR="00226FBC" w:rsidRPr="00DF2CDB" w:rsidRDefault="00226FBC" w:rsidP="00226FBC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bookmarkStart w:id="4" w:name="_Toc220675297"/>
      <w:bookmarkStart w:id="5" w:name="_Toc221553407"/>
      <w:bookmarkStart w:id="6" w:name="_Toc222427926"/>
      <w:bookmarkStart w:id="7" w:name="_Toc223110589"/>
      <w:bookmarkStart w:id="8" w:name="_Toc224925680"/>
      <w:bookmarkStart w:id="9" w:name="_Toc225788488"/>
      <w:bookmarkStart w:id="10" w:name="_Toc226992609"/>
      <w:bookmarkStart w:id="11" w:name="_Toc227686095"/>
      <w:bookmarkStart w:id="12" w:name="_Toc228463508"/>
      <w:bookmarkStart w:id="13" w:name="_Toc229414553"/>
      <w:bookmarkStart w:id="14" w:name="_Toc230192086"/>
      <w:bookmarkStart w:id="15" w:name="_Toc230971485"/>
      <w:bookmarkStart w:id="16" w:name="_Toc231955045"/>
      <w:r w:rsidRPr="00DF2CDB">
        <w:rPr>
          <w:b w:val="0"/>
        </w:rPr>
        <w:t>Subscription Enquiries: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226FBC" w:rsidRPr="00DF2CDB" w:rsidRDefault="00226FBC" w:rsidP="00226FBC">
      <w:pPr>
        <w:pStyle w:val="Heading4"/>
      </w:pPr>
      <w:r w:rsidRPr="00DF2CDB">
        <w:t>KHA Publishing</w:t>
      </w:r>
    </w:p>
    <w:p w:rsidR="00226FBC" w:rsidRPr="00DF2CDB" w:rsidRDefault="00226FBC" w:rsidP="00226FBC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2517DD">
        <w:rPr>
          <w:u w:val="single"/>
        </w:rPr>
        <w:t>(at)</w:t>
      </w:r>
      <w:bookmarkStart w:id="17" w:name="_GoBack"/>
      <w:bookmarkEnd w:id="17"/>
      <w:r w:rsidRPr="00DF2CDB">
        <w:rPr>
          <w:u w:val="single"/>
        </w:rPr>
        <w:t>kha-publishing.com</w:t>
      </w:r>
    </w:p>
    <w:p w:rsidR="00226FBC" w:rsidRPr="00DF2CDB" w:rsidRDefault="00226FBC" w:rsidP="00226FBC">
      <w:pPr>
        <w:pStyle w:val="Heading6"/>
      </w:pPr>
      <w:r w:rsidRPr="00DF2CDB">
        <w:t>Postal Address:</w:t>
      </w:r>
    </w:p>
    <w:p w:rsidR="00226FBC" w:rsidRPr="00DF2CDB" w:rsidRDefault="00226FBC" w:rsidP="00226FBC">
      <w:pPr>
        <w:pStyle w:val="Heading6"/>
      </w:pPr>
      <w:r w:rsidRPr="00DF2CDB">
        <w:t>P.O. Box 325</w:t>
      </w:r>
    </w:p>
    <w:p w:rsidR="00226FBC" w:rsidRPr="00DF2CDB" w:rsidRDefault="00226FBC" w:rsidP="00226FBC">
      <w:pPr>
        <w:pStyle w:val="Heading6"/>
      </w:pPr>
      <w:r w:rsidRPr="00DF2CDB">
        <w:t>BLAXLAND NSW 2774</w:t>
      </w:r>
    </w:p>
    <w:p w:rsidR="00226FBC" w:rsidRPr="00DF2CDB" w:rsidRDefault="00226FBC" w:rsidP="00226FBC"/>
    <w:p w:rsidR="00226FBC" w:rsidRPr="00DF2CDB" w:rsidRDefault="00226FBC" w:rsidP="00226FBC">
      <w:pPr>
        <w:pStyle w:val="Heading2"/>
      </w:pPr>
      <w:bookmarkStart w:id="18" w:name="_Toc164614915"/>
      <w:bookmarkStart w:id="19" w:name="_Toc3198547"/>
      <w:bookmarkStart w:id="20" w:name="_Toc66288464"/>
      <w:bookmarkStart w:id="21" w:name="_Toc67070578"/>
      <w:bookmarkStart w:id="22" w:name="_Toc68017409"/>
      <w:bookmarkStart w:id="23" w:name="_Toc68881978"/>
      <w:bookmarkStart w:id="24" w:name="_Toc69829403"/>
      <w:bookmarkStart w:id="25" w:name="_Toc70695215"/>
      <w:bookmarkStart w:id="26" w:name="_Toc71558254"/>
      <w:bookmarkStart w:id="27" w:name="_Toc72420020"/>
      <w:bookmarkStart w:id="28" w:name="_Toc73373814"/>
      <w:bookmarkStart w:id="29" w:name="_Toc74241882"/>
      <w:bookmarkStart w:id="30" w:name="_Toc75188073"/>
      <w:bookmarkStart w:id="31" w:name="_Toc75966569"/>
      <w:bookmarkStart w:id="32" w:name="_Toc76744190"/>
      <w:bookmarkStart w:id="33" w:name="_Toc77609346"/>
      <w:bookmarkStart w:id="34" w:name="_Toc78559387"/>
      <w:bookmarkStart w:id="35" w:name="_Toc79511633"/>
      <w:bookmarkStart w:id="36" w:name="_Toc80372173"/>
      <w:bookmarkStart w:id="37" w:name="_Toc81237287"/>
      <w:bookmarkStart w:id="38" w:name="_Toc82183411"/>
      <w:bookmarkStart w:id="39" w:name="_Toc83049908"/>
      <w:bookmarkStart w:id="40" w:name="_Toc83914829"/>
      <w:bookmarkStart w:id="41" w:name="_Toc84606435"/>
      <w:bookmarkStart w:id="42" w:name="_Toc85641878"/>
      <w:bookmarkStart w:id="43" w:name="_Toc86420265"/>
      <w:bookmarkStart w:id="44" w:name="_Toc87372842"/>
      <w:bookmarkStart w:id="45" w:name="_Toc88236386"/>
      <w:bookmarkStart w:id="46" w:name="_Toc89100263"/>
      <w:bookmarkStart w:id="47" w:name="_Toc90049382"/>
      <w:bookmarkStart w:id="48" w:name="_Toc90916051"/>
      <w:bookmarkStart w:id="49" w:name="_Toc92204058"/>
      <w:bookmarkStart w:id="50" w:name="_Toc93072986"/>
      <w:bookmarkStart w:id="51" w:name="_Toc94196071"/>
      <w:bookmarkStart w:id="52" w:name="_Toc95233527"/>
      <w:bookmarkStart w:id="53" w:name="_Toc96101780"/>
      <w:bookmarkStart w:id="54" w:name="_Toc96963113"/>
      <w:bookmarkStart w:id="55" w:name="_Toc97825672"/>
      <w:bookmarkStart w:id="56" w:name="_Toc98517781"/>
      <w:bookmarkStart w:id="57" w:name="_Toc99380591"/>
      <w:bookmarkStart w:id="58" w:name="_Toc104206757"/>
      <w:bookmarkStart w:id="59" w:name="_Toc104907433"/>
      <w:bookmarkStart w:id="60" w:name="_Toc105772586"/>
      <w:bookmarkStart w:id="61" w:name="_Toc106639305"/>
      <w:bookmarkStart w:id="62" w:name="_Toc107502073"/>
      <w:bookmarkStart w:id="63" w:name="_Toc108191635"/>
      <w:bookmarkStart w:id="64" w:name="_Toc109059131"/>
      <w:bookmarkStart w:id="65" w:name="_Toc110006442"/>
      <w:bookmarkStart w:id="66" w:name="_Toc111044204"/>
      <w:bookmarkStart w:id="67" w:name="_Toc111812205"/>
      <w:bookmarkStart w:id="68" w:name="_Toc112771553"/>
      <w:bookmarkStart w:id="69" w:name="_Toc113638470"/>
      <w:bookmarkStart w:id="70" w:name="_Toc114587133"/>
      <w:bookmarkStart w:id="71" w:name="_Toc115452267"/>
      <w:bookmarkStart w:id="72" w:name="_Toc116317197"/>
      <w:bookmarkStart w:id="73" w:name="_Toc117179412"/>
      <w:bookmarkStart w:id="74" w:name="_Toc118128007"/>
      <w:bookmarkStart w:id="75" w:name="_Toc118992817"/>
      <w:bookmarkStart w:id="76" w:name="_Toc119684347"/>
      <w:bookmarkStart w:id="77" w:name="_Toc120549323"/>
      <w:bookmarkStart w:id="78" w:name="_Toc121414071"/>
      <w:bookmarkStart w:id="79" w:name="_Toc122361601"/>
      <w:bookmarkStart w:id="80" w:name="_Toc123831621"/>
      <w:bookmarkStart w:id="81" w:name="_Toc124781789"/>
      <w:bookmarkStart w:id="82" w:name="_Toc125730393"/>
      <w:bookmarkStart w:id="83" w:name="_Toc126685971"/>
      <w:bookmarkStart w:id="84" w:name="_Toc127546827"/>
      <w:bookmarkStart w:id="85" w:name="_Toc128412204"/>
      <w:bookmarkStart w:id="86" w:name="_Toc129359840"/>
      <w:bookmarkStart w:id="87" w:name="_Toc130224928"/>
      <w:bookmarkStart w:id="88" w:name="_Toc131088301"/>
      <w:bookmarkStart w:id="89" w:name="_Toc131692348"/>
      <w:bookmarkStart w:id="90" w:name="_Toc132730183"/>
      <w:bookmarkStart w:id="91" w:name="_Toc133594259"/>
      <w:bookmarkStart w:id="92" w:name="_Toc134458070"/>
      <w:bookmarkStart w:id="93" w:name="_Toc135409553"/>
      <w:bookmarkStart w:id="94" w:name="_Toc136272156"/>
      <w:bookmarkStart w:id="95" w:name="_Toc137223055"/>
      <w:bookmarkStart w:id="96" w:name="_Toc138085337"/>
      <w:bookmarkStart w:id="97" w:name="_Toc138950659"/>
      <w:bookmarkStart w:id="98" w:name="_Toc139900772"/>
      <w:bookmarkStart w:id="99" w:name="_Toc140766491"/>
      <w:bookmarkStart w:id="100" w:name="_Toc141717033"/>
      <w:bookmarkStart w:id="101" w:name="_Toc142579119"/>
      <w:bookmarkStart w:id="102" w:name="_Toc143271601"/>
      <w:bookmarkStart w:id="103" w:name="_Toc144135609"/>
      <w:bookmarkStart w:id="104" w:name="_Toc145082752"/>
      <w:bookmarkStart w:id="105" w:name="_Toc146123790"/>
      <w:bookmarkStart w:id="106" w:name="_Toc146900253"/>
      <w:bookmarkStart w:id="107" w:name="_Toc147765212"/>
      <w:bookmarkStart w:id="108" w:name="_Toc148628664"/>
      <w:bookmarkStart w:id="109" w:name="_Toc149581506"/>
      <w:bookmarkStart w:id="110" w:name="_Toc150527930"/>
      <w:bookmarkStart w:id="111" w:name="_Toc151393454"/>
      <w:bookmarkStart w:id="112" w:name="_Toc153207922"/>
      <w:bookmarkStart w:id="113" w:name="_Toc153984867"/>
      <w:bookmarkStart w:id="114" w:name="_Toc155607863"/>
      <w:bookmarkStart w:id="115" w:name="_Toc156577555"/>
      <w:bookmarkStart w:id="116" w:name="_Toc157441392"/>
      <w:bookmarkStart w:id="117" w:name="_Toc158304241"/>
      <w:bookmarkStart w:id="118" w:name="_Toc159256198"/>
      <w:bookmarkStart w:id="119" w:name="_Toc160114935"/>
      <w:bookmarkStart w:id="120" w:name="_Toc160810652"/>
      <w:bookmarkStart w:id="121" w:name="_Toc161675532"/>
      <w:bookmarkStart w:id="122" w:name="_Toc162452350"/>
      <w:bookmarkStart w:id="123" w:name="_Toc163487940"/>
      <w:bookmarkStart w:id="124" w:name="_Toc164440720"/>
      <w:bookmarkStart w:id="125" w:name="_Toc165363818"/>
      <w:bookmarkStart w:id="126" w:name="_Toc166253649"/>
      <w:bookmarkStart w:id="127" w:name="_Toc167118670"/>
      <w:bookmarkStart w:id="128" w:name="_Toc168060320"/>
      <w:bookmarkStart w:id="129" w:name="_Toc168932197"/>
      <w:bookmarkStart w:id="130" w:name="_Toc169709854"/>
      <w:bookmarkStart w:id="131" w:name="_Toc170466324"/>
      <w:bookmarkStart w:id="132" w:name="_Toc171352002"/>
      <w:bookmarkStart w:id="133" w:name="_Toc172303988"/>
      <w:bookmarkStart w:id="134" w:name="_Toc173254265"/>
      <w:bookmarkStart w:id="135" w:name="_Toc174117841"/>
      <w:bookmarkStart w:id="136" w:name="_Toc175068783"/>
      <w:bookmarkStart w:id="137" w:name="_Toc175930800"/>
      <w:bookmarkStart w:id="138" w:name="_Toc176796700"/>
      <w:bookmarkStart w:id="139" w:name="_Toc177745772"/>
      <w:bookmarkStart w:id="140" w:name="_Toc178610681"/>
      <w:bookmarkStart w:id="141" w:name="_Toc179475588"/>
      <w:bookmarkStart w:id="142" w:name="_Toc180489055"/>
      <w:bookmarkStart w:id="143" w:name="_Toc181286993"/>
      <w:bookmarkStart w:id="144" w:name="_Toc181980403"/>
      <w:bookmarkStart w:id="145" w:name="_Toc182844607"/>
      <w:bookmarkStart w:id="146" w:name="_Toc183795331"/>
      <w:bookmarkStart w:id="147" w:name="_Toc184657872"/>
      <w:bookmarkStart w:id="148" w:name="_Toc187055445"/>
      <w:bookmarkStart w:id="149" w:name="_Toc188027624"/>
      <w:bookmarkStart w:id="150" w:name="_Toc189238902"/>
      <w:bookmarkStart w:id="151" w:name="_Toc190101002"/>
      <w:bookmarkStart w:id="152" w:name="_Toc191657191"/>
      <w:bookmarkStart w:id="153" w:name="_Toc192521368"/>
      <w:bookmarkStart w:id="154" w:name="_Toc193384632"/>
      <w:bookmarkStart w:id="155" w:name="_Toc194078895"/>
      <w:bookmarkStart w:id="156" w:name="_Toc194940271"/>
      <w:bookmarkStart w:id="157" w:name="_Toc196148944"/>
      <w:bookmarkStart w:id="158" w:name="_Toc196930111"/>
      <w:bookmarkStart w:id="159" w:name="_Toc197706237"/>
      <w:bookmarkStart w:id="160" w:name="_Toc198741765"/>
      <w:bookmarkStart w:id="161" w:name="_Toc199523167"/>
      <w:bookmarkStart w:id="162" w:name="_Toc200470566"/>
      <w:bookmarkStart w:id="163" w:name="_Toc201335316"/>
      <w:bookmarkStart w:id="164" w:name="_Toc202200178"/>
      <w:bookmarkStart w:id="165" w:name="_Toc203064232"/>
      <w:bookmarkStart w:id="166" w:name="_Toc203997371"/>
      <w:bookmarkStart w:id="167" w:name="_Toc204877566"/>
      <w:bookmarkStart w:id="168" w:name="_Toc205568918"/>
      <w:bookmarkStart w:id="169" w:name="_Toc206520858"/>
      <w:bookmarkStart w:id="170" w:name="_Toc207386339"/>
      <w:bookmarkStart w:id="171" w:name="_Toc208337097"/>
      <w:bookmarkStart w:id="172" w:name="_Toc209200767"/>
      <w:bookmarkStart w:id="173" w:name="_Toc210149314"/>
      <w:bookmarkStart w:id="174" w:name="_Toc211014647"/>
      <w:bookmarkStart w:id="175" w:name="_Toc211933731"/>
      <w:bookmarkStart w:id="176" w:name="_Toc212828290"/>
      <w:bookmarkStart w:id="177" w:name="_Toc213689694"/>
      <w:bookmarkStart w:id="178" w:name="_Toc214555394"/>
      <w:bookmarkStart w:id="179" w:name="_Toc215248956"/>
      <w:bookmarkStart w:id="180" w:name="_Toc216197134"/>
      <w:bookmarkStart w:id="181" w:name="_Toc216974509"/>
      <w:bookmarkStart w:id="182" w:name="_Toc219739498"/>
      <w:bookmarkStart w:id="183" w:name="_Toc220675298"/>
      <w:bookmarkStart w:id="184" w:name="_Toc221553408"/>
      <w:bookmarkStart w:id="185" w:name="_Toc222427927"/>
      <w:bookmarkStart w:id="186" w:name="_Toc223110590"/>
      <w:bookmarkStart w:id="187" w:name="_Toc224925681"/>
      <w:bookmarkStart w:id="188" w:name="_Toc225788489"/>
      <w:bookmarkStart w:id="189" w:name="_Toc226992610"/>
      <w:bookmarkStart w:id="190" w:name="_Toc227686096"/>
      <w:bookmarkStart w:id="191" w:name="_Toc228463509"/>
      <w:bookmarkStart w:id="192" w:name="_Toc229414554"/>
      <w:bookmarkStart w:id="193" w:name="_Toc230192087"/>
      <w:bookmarkStart w:id="194" w:name="_Toc230971486"/>
      <w:bookmarkStart w:id="195" w:name="_Toc231955046"/>
      <w:r w:rsidRPr="00DF2CDB">
        <w:rPr>
          <w:b w:val="0"/>
        </w:rPr>
        <w:t>Disclaimer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r>
        <w:rPr>
          <w:b w:val="0"/>
        </w:rPr>
        <w:t>: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:rsidR="00226FBC" w:rsidRPr="006301DD" w:rsidRDefault="00226FBC" w:rsidP="00226FB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Material in this publication has been compiled from information believed to be accurate and reliable.</w:t>
      </w:r>
    </w:p>
    <w:p w:rsidR="00226FBC" w:rsidRPr="006301DD" w:rsidRDefault="00226FBC" w:rsidP="00226FB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No liability is accepted for inaccuracies, errors or omissions.</w:t>
      </w:r>
    </w:p>
    <w:p w:rsidR="00226FBC" w:rsidRPr="006301DD" w:rsidRDefault="00226FBC" w:rsidP="00226FBC">
      <w:pPr>
        <w:rPr>
          <w:rFonts w:cs="Arial"/>
          <w:b/>
          <w:bCs/>
        </w:rPr>
      </w:pPr>
      <w:r w:rsidRPr="006301DD">
        <w:rPr>
          <w:rFonts w:cs="Arial"/>
          <w:b/>
          <w:bCs/>
        </w:rPr>
        <w:t>This publication is not offering financial advice.</w:t>
      </w:r>
    </w:p>
    <w:p w:rsidR="00226FBC" w:rsidRPr="006301DD" w:rsidRDefault="00226FBC" w:rsidP="00226FBC">
      <w:pPr>
        <w:rPr>
          <w:b/>
          <w:bCs/>
        </w:rPr>
      </w:pPr>
      <w:r w:rsidRPr="006301DD">
        <w:rPr>
          <w:rFonts w:cs="Arial"/>
          <w:b/>
          <w:bCs/>
        </w:rPr>
        <w:t>No material in this publication is intended or should be used as financial advice.</w:t>
      </w:r>
    </w:p>
    <w:p w:rsidR="00226FBC" w:rsidRDefault="00226FBC" w:rsidP="00226FBC"/>
    <w:p w:rsidR="00157ED5" w:rsidRDefault="00157ED5"/>
    <w:p w:rsidR="002850C3" w:rsidRDefault="002850C3"/>
    <w:sectPr w:rsidR="002850C3" w:rsidSect="00226FBC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28" w:rsidRDefault="00820928">
      <w:r>
        <w:separator/>
      </w:r>
    </w:p>
  </w:endnote>
  <w:endnote w:type="continuationSeparator" w:id="0">
    <w:p w:rsidR="00820928" w:rsidRDefault="0082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28" w:rsidRDefault="008209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928" w:rsidRDefault="008209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28" w:rsidRDefault="008209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7DD">
      <w:rPr>
        <w:rStyle w:val="PageNumber"/>
        <w:noProof/>
      </w:rPr>
      <w:t>3</w:t>
    </w:r>
    <w:r>
      <w:rPr>
        <w:rStyle w:val="PageNumber"/>
      </w:rPr>
      <w:fldChar w:fldCharType="end"/>
    </w:r>
  </w:p>
  <w:p w:rsidR="00820928" w:rsidRDefault="00820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28" w:rsidRDefault="00820928">
      <w:r>
        <w:separator/>
      </w:r>
    </w:p>
  </w:footnote>
  <w:footnote w:type="continuationSeparator" w:id="0">
    <w:p w:rsidR="00820928" w:rsidRDefault="0082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28" w:rsidRDefault="00820928">
    <w:pPr>
      <w:pStyle w:val="Header"/>
      <w:jc w:val="center"/>
      <w:rPr>
        <w:b/>
      </w:rPr>
    </w:pPr>
    <w:r>
      <w:rPr>
        <w:b/>
      </w:rPr>
      <w:t>Issue 813 – 09 June 2026</w:t>
    </w:r>
  </w:p>
  <w:p w:rsidR="00820928" w:rsidRDefault="00820928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:rsidR="00820928" w:rsidRDefault="00820928">
    <w:pPr>
      <w:pStyle w:val="Header"/>
      <w:jc w:val="center"/>
    </w:pPr>
  </w:p>
  <w:p w:rsidR="00820928" w:rsidRDefault="00820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F2A7E"/>
    <w:multiLevelType w:val="hybridMultilevel"/>
    <w:tmpl w:val="D24E9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E27BA"/>
    <w:multiLevelType w:val="hybridMultilevel"/>
    <w:tmpl w:val="774AF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124F"/>
    <w:multiLevelType w:val="hybridMultilevel"/>
    <w:tmpl w:val="36E08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149FA"/>
    <w:multiLevelType w:val="hybridMultilevel"/>
    <w:tmpl w:val="95D8F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A2AD5"/>
    <w:multiLevelType w:val="hybridMultilevel"/>
    <w:tmpl w:val="DDAA8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80110"/>
    <w:multiLevelType w:val="hybridMultilevel"/>
    <w:tmpl w:val="D8A01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5063B"/>
    <w:multiLevelType w:val="hybridMultilevel"/>
    <w:tmpl w:val="4B40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022B"/>
    <w:multiLevelType w:val="hybridMultilevel"/>
    <w:tmpl w:val="935EE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84CA4"/>
    <w:multiLevelType w:val="hybridMultilevel"/>
    <w:tmpl w:val="D0144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25C26"/>
    <w:multiLevelType w:val="hybridMultilevel"/>
    <w:tmpl w:val="BB4AA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16123"/>
    <w:multiLevelType w:val="hybridMultilevel"/>
    <w:tmpl w:val="93F83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83E6E"/>
    <w:multiLevelType w:val="hybridMultilevel"/>
    <w:tmpl w:val="AABC6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E225C"/>
    <w:multiLevelType w:val="hybridMultilevel"/>
    <w:tmpl w:val="D3CE0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F37F5"/>
    <w:multiLevelType w:val="hybridMultilevel"/>
    <w:tmpl w:val="DB5E5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AD1CB7"/>
    <w:multiLevelType w:val="hybridMultilevel"/>
    <w:tmpl w:val="ACAAA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0824"/>
    <w:multiLevelType w:val="hybridMultilevel"/>
    <w:tmpl w:val="0FBE3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70D13"/>
    <w:multiLevelType w:val="hybridMultilevel"/>
    <w:tmpl w:val="6F582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00D1A"/>
    <w:multiLevelType w:val="hybridMultilevel"/>
    <w:tmpl w:val="B4906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93C41"/>
    <w:multiLevelType w:val="hybridMultilevel"/>
    <w:tmpl w:val="97D8C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A5717"/>
    <w:multiLevelType w:val="hybridMultilevel"/>
    <w:tmpl w:val="9AC86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2"/>
  </w:num>
  <w:num w:numId="5">
    <w:abstractNumId w:val="26"/>
  </w:num>
  <w:num w:numId="6">
    <w:abstractNumId w:val="23"/>
  </w:num>
  <w:num w:numId="7">
    <w:abstractNumId w:val="25"/>
  </w:num>
  <w:num w:numId="8">
    <w:abstractNumId w:val="20"/>
  </w:num>
  <w:num w:numId="9">
    <w:abstractNumId w:val="9"/>
  </w:num>
  <w:num w:numId="10">
    <w:abstractNumId w:val="28"/>
  </w:num>
  <w:num w:numId="11">
    <w:abstractNumId w:val="10"/>
  </w:num>
  <w:num w:numId="12">
    <w:abstractNumId w:val="8"/>
  </w:num>
  <w:num w:numId="13">
    <w:abstractNumId w:val="24"/>
  </w:num>
  <w:num w:numId="14">
    <w:abstractNumId w:val="31"/>
  </w:num>
  <w:num w:numId="15">
    <w:abstractNumId w:val="11"/>
  </w:num>
  <w:num w:numId="16">
    <w:abstractNumId w:val="29"/>
  </w:num>
  <w:num w:numId="17">
    <w:abstractNumId w:val="2"/>
  </w:num>
  <w:num w:numId="18">
    <w:abstractNumId w:val="3"/>
  </w:num>
  <w:num w:numId="19">
    <w:abstractNumId w:val="30"/>
  </w:num>
  <w:num w:numId="20">
    <w:abstractNumId w:val="27"/>
  </w:num>
  <w:num w:numId="21">
    <w:abstractNumId w:val="6"/>
  </w:num>
  <w:num w:numId="22">
    <w:abstractNumId w:val="1"/>
  </w:num>
  <w:num w:numId="23">
    <w:abstractNumId w:val="13"/>
  </w:num>
  <w:num w:numId="24">
    <w:abstractNumId w:val="19"/>
  </w:num>
  <w:num w:numId="25">
    <w:abstractNumId w:val="22"/>
  </w:num>
  <w:num w:numId="26">
    <w:abstractNumId w:val="5"/>
  </w:num>
  <w:num w:numId="27">
    <w:abstractNumId w:val="16"/>
  </w:num>
  <w:num w:numId="28">
    <w:abstractNumId w:val="4"/>
  </w:num>
  <w:num w:numId="29">
    <w:abstractNumId w:val="14"/>
  </w:num>
  <w:num w:numId="30">
    <w:abstractNumId w:val="17"/>
  </w:num>
  <w:num w:numId="31">
    <w:abstractNumId w:val="15"/>
  </w:num>
  <w:num w:numId="3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57ED5"/>
    <w:rsid w:val="00165B9D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21543D"/>
    <w:rsid w:val="00217F65"/>
    <w:rsid w:val="00222988"/>
    <w:rsid w:val="0022567F"/>
    <w:rsid w:val="00226FBC"/>
    <w:rsid w:val="002517DD"/>
    <w:rsid w:val="00253786"/>
    <w:rsid w:val="0025447C"/>
    <w:rsid w:val="00282320"/>
    <w:rsid w:val="0028414A"/>
    <w:rsid w:val="002850C3"/>
    <w:rsid w:val="002C1C3C"/>
    <w:rsid w:val="00310524"/>
    <w:rsid w:val="00321BDF"/>
    <w:rsid w:val="003348CA"/>
    <w:rsid w:val="00344DCC"/>
    <w:rsid w:val="00362339"/>
    <w:rsid w:val="003A4142"/>
    <w:rsid w:val="003D76B0"/>
    <w:rsid w:val="00415C4F"/>
    <w:rsid w:val="0041621C"/>
    <w:rsid w:val="00483F7E"/>
    <w:rsid w:val="004F7284"/>
    <w:rsid w:val="005015CF"/>
    <w:rsid w:val="00513129"/>
    <w:rsid w:val="00515B3C"/>
    <w:rsid w:val="00542861"/>
    <w:rsid w:val="005546C3"/>
    <w:rsid w:val="00563467"/>
    <w:rsid w:val="0056740E"/>
    <w:rsid w:val="0057182A"/>
    <w:rsid w:val="00581B3D"/>
    <w:rsid w:val="005B41DB"/>
    <w:rsid w:val="005C63DD"/>
    <w:rsid w:val="00652385"/>
    <w:rsid w:val="006650C1"/>
    <w:rsid w:val="00697208"/>
    <w:rsid w:val="006A5FA0"/>
    <w:rsid w:val="006B6EBC"/>
    <w:rsid w:val="006B7601"/>
    <w:rsid w:val="006C186D"/>
    <w:rsid w:val="006D5D0D"/>
    <w:rsid w:val="006F18E8"/>
    <w:rsid w:val="006F6D45"/>
    <w:rsid w:val="00705466"/>
    <w:rsid w:val="007259B1"/>
    <w:rsid w:val="00734D47"/>
    <w:rsid w:val="00764ED6"/>
    <w:rsid w:val="00765D2A"/>
    <w:rsid w:val="00772432"/>
    <w:rsid w:val="007B02E2"/>
    <w:rsid w:val="007D076E"/>
    <w:rsid w:val="007E0B9E"/>
    <w:rsid w:val="00820928"/>
    <w:rsid w:val="00823473"/>
    <w:rsid w:val="0083382D"/>
    <w:rsid w:val="00843BA3"/>
    <w:rsid w:val="00844354"/>
    <w:rsid w:val="0085177C"/>
    <w:rsid w:val="00856038"/>
    <w:rsid w:val="00860CC8"/>
    <w:rsid w:val="00867A50"/>
    <w:rsid w:val="00897B28"/>
    <w:rsid w:val="008A4E19"/>
    <w:rsid w:val="008E40AF"/>
    <w:rsid w:val="008F0A85"/>
    <w:rsid w:val="00902124"/>
    <w:rsid w:val="009203FF"/>
    <w:rsid w:val="0093493C"/>
    <w:rsid w:val="0095229C"/>
    <w:rsid w:val="009A2862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6FBA"/>
    <w:rsid w:val="00AF097B"/>
    <w:rsid w:val="00B34708"/>
    <w:rsid w:val="00B423C7"/>
    <w:rsid w:val="00B4592B"/>
    <w:rsid w:val="00B4639F"/>
    <w:rsid w:val="00B71BDB"/>
    <w:rsid w:val="00B72053"/>
    <w:rsid w:val="00B7504D"/>
    <w:rsid w:val="00BD64FA"/>
    <w:rsid w:val="00C23EF9"/>
    <w:rsid w:val="00C26323"/>
    <w:rsid w:val="00C36529"/>
    <w:rsid w:val="00C3792A"/>
    <w:rsid w:val="00C65DDB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C3FD0"/>
    <w:rsid w:val="00E03374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26615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734D47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734D47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C3792A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C3792A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C3792A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C3792A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C3792A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C3792A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C3792A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C3792A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C3792A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C3792A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C3792A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C3792A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C3792A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C3792A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C3792A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C3792A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C3792A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C3792A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56CB-5671-425B-97F0-9F8DF7D5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10304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35</cp:revision>
  <cp:lastPrinted>2011-12-08T01:43:00Z</cp:lastPrinted>
  <dcterms:created xsi:type="dcterms:W3CDTF">2022-04-20T05:05:00Z</dcterms:created>
  <dcterms:modified xsi:type="dcterms:W3CDTF">2026-06-10T07:55:00Z</dcterms:modified>
</cp:coreProperties>
</file>